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Teacher’s Guide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EAS Miscellany endeavors to promote journal readership and pedagogical use of journal articles. EAS Miscellany invites educators to utilize this guide for usage in their classrooms and curriculum design.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Lesson Information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Journal Article Name: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Journal Article Author:</w:t>
        <w:br w:type="textWrapping"/>
        <w:t xml:space="preserve">Link to Journal Article/DOI Number: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Primary Source Documents: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Secondary Source Documents: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Historical Time Period/Topic/Associated Unit: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Objectives/State Standards/Class Goals: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Plan MM/DD/YYYY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Plan Timeframe: </w:t>
            </w:r>
            <w:r w:rsidDel="00000000" w:rsidR="00000000" w:rsidRPr="00000000">
              <w:rPr>
                <w:rtl w:val="0"/>
              </w:rPr>
              <w:t xml:space="preserve">60 minutes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Bell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minutes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Course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minutes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Activity/Discussion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 minutes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Exit Ticket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attach via this Google Form any documents needed for the lesson.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